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58" w:rsidRDefault="00422525" w:rsidP="00062358">
      <w:pPr>
        <w:jc w:val="right"/>
        <w:rPr>
          <w:rFonts w:ascii="Times New Roman" w:hAnsi="Times New Roman" w:cs="Times New Roman"/>
          <w:b/>
        </w:rPr>
      </w:pPr>
      <w:r>
        <w:rPr>
          <w:rFonts w:ascii="Times New Roman" w:hAnsi="Times New Roman" w:cs="Times New Roman"/>
          <w:b/>
        </w:rPr>
        <w:t xml:space="preserve">Приложение к приказу № </w:t>
      </w:r>
      <w:r w:rsidR="000A0CFA">
        <w:rPr>
          <w:rFonts w:ascii="Times New Roman" w:hAnsi="Times New Roman" w:cs="Times New Roman"/>
          <w:b/>
        </w:rPr>
        <w:t>186 от 28</w:t>
      </w:r>
      <w:r w:rsidR="00443E6A">
        <w:rPr>
          <w:rFonts w:ascii="Times New Roman" w:hAnsi="Times New Roman" w:cs="Times New Roman"/>
          <w:b/>
        </w:rPr>
        <w:t>.12.202</w:t>
      </w:r>
      <w:r w:rsidR="000A0CFA">
        <w:rPr>
          <w:rFonts w:ascii="Times New Roman" w:hAnsi="Times New Roman" w:cs="Times New Roman"/>
          <w:b/>
        </w:rPr>
        <w:t>4</w:t>
      </w:r>
      <w:r w:rsidR="00062358">
        <w:rPr>
          <w:rFonts w:ascii="Times New Roman" w:hAnsi="Times New Roman" w:cs="Times New Roman"/>
          <w:b/>
        </w:rPr>
        <w:t xml:space="preserve"> года</w:t>
      </w:r>
    </w:p>
    <w:p w:rsidR="00062358" w:rsidRDefault="00062358" w:rsidP="00062358">
      <w:pPr>
        <w:jc w:val="center"/>
        <w:rPr>
          <w:rFonts w:ascii="Times New Roman" w:hAnsi="Times New Roman" w:cs="Times New Roman"/>
          <w:b/>
        </w:rPr>
      </w:pPr>
      <w:r>
        <w:rPr>
          <w:rFonts w:ascii="Times New Roman" w:hAnsi="Times New Roman" w:cs="Times New Roman"/>
          <w:b/>
        </w:rPr>
        <w:t xml:space="preserve">УЧЕТНАЯ ПОЛИТИКА </w:t>
      </w:r>
    </w:p>
    <w:p w:rsidR="00062358" w:rsidRDefault="00062358" w:rsidP="00062358">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062358" w:rsidRDefault="009671D3" w:rsidP="00062358">
      <w:pPr>
        <w:jc w:val="center"/>
        <w:rPr>
          <w:rFonts w:ascii="Times New Roman" w:hAnsi="Times New Roman" w:cs="Times New Roman"/>
          <w:b/>
        </w:rPr>
      </w:pPr>
      <w:r>
        <w:rPr>
          <w:rFonts w:ascii="Times New Roman" w:hAnsi="Times New Roman" w:cs="Times New Roman"/>
          <w:b/>
        </w:rPr>
        <w:t>«ДЕТСКИЙ САД  №10</w:t>
      </w:r>
      <w:r w:rsidR="00062358">
        <w:rPr>
          <w:rFonts w:ascii="Times New Roman" w:hAnsi="Times New Roman" w:cs="Times New Roman"/>
          <w:b/>
        </w:rPr>
        <w:t xml:space="preserve">» ЗАВОДСКОГО РАЙОНА </w:t>
      </w:r>
    </w:p>
    <w:p w:rsidR="00062358" w:rsidRDefault="00062358" w:rsidP="00062358">
      <w:pPr>
        <w:jc w:val="center"/>
        <w:rPr>
          <w:rFonts w:ascii="Times New Roman" w:hAnsi="Times New Roman" w:cs="Times New Roman"/>
          <w:b/>
        </w:rPr>
      </w:pPr>
      <w:r>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 xml:space="preserve">учреждение «Детский сад № </w:t>
      </w:r>
      <w:proofErr w:type="gramStart"/>
      <w:r w:rsidR="009671D3">
        <w:rPr>
          <w:rFonts w:ascii="Times New Roman" w:hAnsi="Times New Roman" w:cs="Times New Roman"/>
        </w:rPr>
        <w:t>10</w:t>
      </w:r>
      <w:r>
        <w:rPr>
          <w:rFonts w:ascii="Times New Roman" w:hAnsi="Times New Roman" w:cs="Times New Roman"/>
        </w:rPr>
        <w:t>»  Заводского</w:t>
      </w:r>
      <w:proofErr w:type="gramEnd"/>
      <w:r>
        <w:rPr>
          <w:rFonts w:ascii="Times New Roman" w:hAnsi="Times New Roman" w:cs="Times New Roman"/>
        </w:rPr>
        <w:t xml:space="preserve"> района г. Саратова (далее по тексту-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(далее-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 xml:space="preserve">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w:t>
      </w:r>
      <w:r w:rsidR="007A3F97" w:rsidRPr="007A3F97">
        <w:rPr>
          <w:shd w:val="clear" w:color="auto" w:fill="FFFFFF"/>
        </w:rPr>
        <w:lastRenderedPageBreak/>
        <w:t>«Затраты по заимствованиям», СГС «Совместная деятельность», СГС «Выплаты 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 xml:space="preserve">Минфина РФ от 29.12.2018 N 305н, </w:t>
      </w:r>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от 28 июня 2022 г. 100- н о внесении изменений</w:t>
      </w:r>
      <w:r w:rsidR="006613D1" w:rsidRPr="006613D1">
        <w:rPr>
          <w:bCs/>
          <w:sz w:val="22"/>
          <w:szCs w:val="22"/>
        </w:rPr>
        <w:br/>
        <w:t>в приложения n 1-5 к приказу министерства</w:t>
      </w:r>
      <w:r w:rsidR="006613D1" w:rsidRPr="006613D1">
        <w:rPr>
          <w:bCs/>
          <w:sz w:val="22"/>
          <w:szCs w:val="22"/>
        </w:rPr>
        <w:br/>
        <w:t>финансов российской федерации от 15 апреля 2021 г. n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1С:Предприятие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вида источников финансирования дефицитов бюджетов</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(потребляемые)</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),совершившего</w:t>
      </w:r>
      <w:proofErr w:type="gramEnd"/>
      <w:r w:rsidRPr="00BE4013">
        <w:rPr>
          <w:rFonts w:ascii="Times New Roman" w:hAnsi="Times New Roman" w:cs="Times New Roman"/>
        </w:rPr>
        <w:t xml:space="preserve">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забалансовому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согласно </w:t>
      </w:r>
      <w:r w:rsidR="00262F0E" w:rsidRPr="00BE4013">
        <w:rPr>
          <w:rFonts w:ascii="Times New Roman" w:hAnsi="Times New Roman" w:cs="Times New Roman"/>
          <w:b/>
        </w:rPr>
        <w:t>Приложения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Контроль за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r w:rsidR="00EB5915" w:rsidRPr="00BE4013">
        <w:rPr>
          <w:color w:val="000000"/>
          <w:sz w:val="22"/>
          <w:szCs w:val="22"/>
          <w:bdr w:val="none" w:sz="0" w:space="0" w:color="auto" w:frame="1"/>
          <w:lang w:val="en-US"/>
        </w:rPr>
        <w:t>gov</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забалансовых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 xml:space="preserve">(основание-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Контроль за наличием договоров о полной материальной ответственности (коллективной ответственности) на всех ответственных </w:t>
      </w:r>
      <w:proofErr w:type="gramStart"/>
      <w:r w:rsidRPr="00BE4013">
        <w:rPr>
          <w:rFonts w:ascii="Times New Roman" w:hAnsi="Times New Roman" w:cs="Times New Roman"/>
        </w:rPr>
        <w:t>лиц  учреждения</w:t>
      </w:r>
      <w:proofErr w:type="gramEnd"/>
      <w:r w:rsidRPr="00BE4013">
        <w:rPr>
          <w:rFonts w:ascii="Times New Roman" w:hAnsi="Times New Roman" w:cs="Times New Roman"/>
        </w:rPr>
        <w:t xml:space="preserve">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(основание-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r w:rsidR="00476627">
        <w:rPr>
          <w:bCs/>
          <w:sz w:val="22"/>
          <w:szCs w:val="22"/>
        </w:rPr>
        <w:t>–</w:t>
      </w:r>
      <w:r w:rsidRPr="00BE4013">
        <w:rPr>
          <w:sz w:val="22"/>
          <w:szCs w:val="22"/>
        </w:rPr>
        <w:t>по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r w:rsidR="00EB35FB" w:rsidRPr="00F50EBB">
              <w:rPr>
                <w:rFonts w:ascii="Times New Roman" w:hAnsi="Times New Roman" w:cs="Times New Roman"/>
                <w:color w:val="000000"/>
                <w:sz w:val="16"/>
                <w:szCs w:val="16"/>
                <w:shd w:val="clear" w:color="auto" w:fill="FFFFFF"/>
              </w:rPr>
              <w:t>по</w:t>
            </w:r>
            <w:proofErr w:type="spell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4" w:name="Par12470"/>
            <w:bookmarkEnd w:id="4"/>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 xml:space="preserve">Детализированы подстатьями КОСГУ в зависимости от </w:t>
      </w:r>
      <w:proofErr w:type="gramStart"/>
      <w:r w:rsidR="0084242C" w:rsidRPr="00F50EBB">
        <w:rPr>
          <w:rFonts w:ascii="Times New Roman" w:hAnsi="Times New Roman" w:cs="Times New Roman"/>
          <w:b/>
          <w:sz w:val="16"/>
          <w:szCs w:val="16"/>
        </w:rPr>
        <w:t>контрагентов,,</w:t>
      </w:r>
      <w:proofErr w:type="gramEnd"/>
      <w:r w:rsidR="0084242C" w:rsidRPr="00F50EBB">
        <w:rPr>
          <w:rFonts w:ascii="Times New Roman" w:hAnsi="Times New Roman" w:cs="Times New Roman"/>
          <w:b/>
          <w:sz w:val="16"/>
          <w:szCs w:val="16"/>
        </w:rPr>
        <w:t xml:space="preserve"> при расчетах с которыми такая задолженность образуется (п. 13.6, 14.6, 15.3, 16.3 Порядка №209н).</w:t>
      </w:r>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firstRow="0" w:lastRow="0" w:firstColumn="0" w:lastColumn="0" w:noHBand="0" w:noVBand="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lastRenderedPageBreak/>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lastRenderedPageBreak/>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lastRenderedPageBreak/>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урнал операций по забалансовому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lastRenderedPageBreak/>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lastRenderedPageBreak/>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lastRenderedPageBreak/>
              <w:t>чл</w:t>
            </w:r>
            <w:r w:rsidRPr="00A135CF">
              <w:t>ены комиссии</w:t>
            </w:r>
          </w:p>
        </w:tc>
        <w:tc>
          <w:tcPr>
            <w:tcW w:w="1701" w:type="dxa"/>
          </w:tcPr>
          <w:p w:rsidR="002718F8" w:rsidRPr="00A135CF" w:rsidRDefault="002718F8" w:rsidP="002718F8">
            <w:pPr>
              <w:pStyle w:val="a6"/>
              <w:jc w:val="both"/>
            </w:pPr>
            <w:r w:rsidRPr="003F067D">
              <w:lastRenderedPageBreak/>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lastRenderedPageBreak/>
              <w:t>ЭП</w:t>
            </w:r>
          </w:p>
        </w:tc>
      </w:tr>
      <w:tr w:rsidR="00774F67" w:rsidRPr="00A135CF" w:rsidTr="007D33B4">
        <w:tc>
          <w:tcPr>
            <w:tcW w:w="534" w:type="dxa"/>
          </w:tcPr>
          <w:p w:rsidR="00774F67" w:rsidRDefault="00774F67" w:rsidP="00774F67">
            <w:pPr>
              <w:pStyle w:val="a6"/>
              <w:jc w:val="both"/>
            </w:pPr>
            <w:r>
              <w:lastRenderedPageBreak/>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lastRenderedPageBreak/>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5"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t>п/п</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Журнал операций по забалансовому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w:t>
            </w:r>
            <w:proofErr w:type="gramStart"/>
            <w:r w:rsidRPr="002F4CE3">
              <w:rPr>
                <w:rFonts w:ascii="Times New Roman" w:hAnsi="Times New Roman" w:cs="Times New Roman"/>
                <w:sz w:val="20"/>
                <w:szCs w:val="20"/>
              </w:rPr>
              <w:t>( об</w:t>
            </w:r>
            <w:proofErr w:type="gramEnd"/>
            <w:r w:rsidRPr="002F4CE3">
              <w:rPr>
                <w:rFonts w:ascii="Times New Roman" w:hAnsi="Times New Roman" w:cs="Times New Roman"/>
                <w:sz w:val="20"/>
                <w:szCs w:val="20"/>
              </w:rPr>
              <w:t xml:space="preserve"> </w:t>
            </w:r>
            <w:proofErr w:type="spellStart"/>
            <w:r w:rsidRPr="002F4CE3">
              <w:rPr>
                <w:rFonts w:ascii="Times New Roman" w:hAnsi="Times New Roman" w:cs="Times New Roman"/>
                <w:sz w:val="20"/>
                <w:szCs w:val="20"/>
              </w:rPr>
              <w:t>образовании,о</w:t>
            </w:r>
            <w:proofErr w:type="spell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6" w:name="_Toc310000591"/>
            <w:bookmarkStart w:id="7"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Нач.отдела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p>
        </w:tc>
      </w:tr>
    </w:tbl>
    <w:p w:rsidR="00660399" w:rsidRDefault="00660399" w:rsidP="009F7857">
      <w:pPr>
        <w:pStyle w:val="2"/>
        <w:jc w:val="right"/>
        <w:rPr>
          <w:rFonts w:ascii="Times New Roman" w:hAnsi="Times New Roman" w:cs="Times New Roman"/>
          <w:bCs w:val="0"/>
        </w:rPr>
      </w:pPr>
    </w:p>
    <w:bookmarkEnd w:id="6"/>
    <w:bookmarkEnd w:id="7"/>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1.2. Внутренний финансовый контроль направлен на: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 Внутренний финансовый контроль в учреждении подразделяется на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9212D5">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полноты оприходования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контроль за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сверка аналитического учета с синтетическим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firstRow="0" w:lastRow="0" w:firstColumn="0" w:lastColumn="0" w:noHBand="0" w:noVBand="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действующая комиссии по поступлению и </w:t>
            </w:r>
            <w:r w:rsidRPr="00484F1F">
              <w:rPr>
                <w:rFonts w:ascii="Times New Roman" w:hAnsi="Times New Roman" w:cs="Times New Roman"/>
              </w:rPr>
              <w:lastRenderedPageBreak/>
              <w:t>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действующая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8" w:name="_Toc215299232"/>
      <w:bookmarkStart w:id="9" w:name="_Toc288918081"/>
      <w:bookmarkStart w:id="10" w:name="_Toc309844132"/>
      <w:bookmarkStart w:id="11" w:name="_Toc319333231"/>
      <w:r w:rsidRPr="008D545F">
        <w:t>Положение об инвентаризации</w:t>
      </w:r>
      <w:bookmarkEnd w:id="8"/>
      <w:bookmarkEnd w:id="9"/>
      <w:bookmarkEnd w:id="10"/>
      <w:bookmarkEnd w:id="11"/>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2" w:name="_Toc310000590"/>
      <w:bookmarkStart w:id="13" w:name="_Toc319333247"/>
      <w:bookmarkEnd w:id="5"/>
      <w:bookmarkEnd w:id="12"/>
      <w:bookmarkEnd w:id="13"/>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3.5. 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Результаты инвентаризации по установлению правовых оснований (даты исполнения) возникновения расчетов) отражаются </w:t>
      </w:r>
      <w:proofErr w:type="gramStart"/>
      <w:r w:rsidRPr="00744AD1">
        <w:rPr>
          <w:rFonts w:ascii="Times New Roman" w:hAnsi="Times New Roman" w:cs="Times New Roman"/>
          <w:sz w:val="24"/>
          <w:szCs w:val="24"/>
          <w:lang w:eastAsia="ru-RU"/>
        </w:rPr>
        <w:t>в электроном</w:t>
      </w:r>
      <w:proofErr w:type="gramEnd"/>
      <w:r w:rsidRPr="00744AD1">
        <w:rPr>
          <w:rFonts w:ascii="Times New Roman" w:hAnsi="Times New Roman" w:cs="Times New Roman"/>
          <w:sz w:val="24"/>
          <w:szCs w:val="24"/>
          <w:lang w:eastAsia="ru-RU"/>
        </w:rPr>
        <w:t xml:space="preserve">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задолженности </w:t>
      </w:r>
      <w:proofErr w:type="gramStart"/>
      <w:r w:rsidRPr="00744AD1">
        <w:rPr>
          <w:rFonts w:ascii="Times New Roman" w:hAnsi="Times New Roman" w:cs="Times New Roman"/>
          <w:sz w:val="24"/>
          <w:szCs w:val="24"/>
          <w:lang w:eastAsia="ru-RU"/>
        </w:rPr>
        <w:t>в разряд</w:t>
      </w:r>
      <w:proofErr w:type="gramEnd"/>
      <w:r w:rsidRPr="00744AD1">
        <w:rPr>
          <w:rFonts w:ascii="Times New Roman" w:hAnsi="Times New Roman" w:cs="Times New Roman"/>
          <w:sz w:val="24"/>
          <w:szCs w:val="24"/>
          <w:lang w:eastAsia="ru-RU"/>
        </w:rPr>
        <w:t xml:space="preserve">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.205.ХХ.ХХХ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 xml:space="preserve">.208.ХХ.ХХХ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.303.ХХ.ХХХ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 3.304.</w:t>
      </w:r>
      <w:proofErr w:type="gramStart"/>
      <w:r w:rsidRPr="00744AD1">
        <w:rPr>
          <w:rFonts w:ascii="Times New Roman" w:hAnsi="Times New Roman" w:cs="Times New Roman"/>
          <w:sz w:val="24"/>
          <w:szCs w:val="24"/>
          <w:lang w:eastAsia="ru-RU"/>
        </w:rPr>
        <w:t>01.ХХХ</w:t>
      </w:r>
      <w:proofErr w:type="gramEnd"/>
      <w:r w:rsidRPr="00744AD1">
        <w:rPr>
          <w:rFonts w:ascii="Times New Roman" w:hAnsi="Times New Roman" w:cs="Times New Roman"/>
          <w:sz w:val="24"/>
          <w:szCs w:val="24"/>
          <w:lang w:eastAsia="ru-RU"/>
        </w:rPr>
        <w:t xml:space="preserve">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4.6 Оприходование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4" w:name="Par69"/>
      <w:bookmarkEnd w:id="14"/>
      <w:r w:rsidRPr="00711880">
        <w:rPr>
          <w:rFonts w:ascii="Times New Roman" w:hAnsi="Times New Roman" w:cs="Times New Roman"/>
          <w:sz w:val="24"/>
          <w:szCs w:val="24"/>
        </w:rPr>
        <w:t xml:space="preserve">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665A45" w:rsidRDefault="00665A45"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665A45" w:rsidRDefault="00665A45" w:rsidP="00665A45">
      <w:pPr>
        <w:pStyle w:val="a4"/>
      </w:pPr>
      <w:bookmarkStart w:id="15" w:name="_GoBack"/>
      <w:r>
        <w:rPr>
          <w:noProof/>
        </w:rPr>
        <w:lastRenderedPageBreak/>
        <w:drawing>
          <wp:inline distT="0" distB="0" distL="0" distR="0" wp14:anchorId="4F93C75C" wp14:editId="079BD557">
            <wp:extent cx="6349072" cy="9342755"/>
            <wp:effectExtent l="0" t="0" r="0" b="0"/>
            <wp:docPr id="2" name="Рисунок 2" descr="C:\Users\User\Downloads\лист ознакомл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лист ознакомления.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75090" cy="9381041"/>
                    </a:xfrm>
                    <a:prstGeom prst="rect">
                      <a:avLst/>
                    </a:prstGeom>
                    <a:noFill/>
                    <a:ln>
                      <a:noFill/>
                    </a:ln>
                  </pic:spPr>
                </pic:pic>
              </a:graphicData>
            </a:graphic>
          </wp:inline>
        </w:drawing>
      </w:r>
      <w:bookmarkEnd w:id="15"/>
    </w:p>
    <w:p w:rsidR="00665A45" w:rsidRDefault="00665A45"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665A45" w:rsidSect="001E6275">
      <w:footerReference w:type="defaul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35" w:rsidRDefault="007E7735" w:rsidP="00D03EC0">
      <w:pPr>
        <w:spacing w:after="0" w:line="240" w:lineRule="auto"/>
      </w:pPr>
      <w:r>
        <w:separator/>
      </w:r>
    </w:p>
  </w:endnote>
  <w:endnote w:type="continuationSeparator" w:id="0">
    <w:p w:rsidR="007E7735" w:rsidRDefault="007E7735" w:rsidP="00D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45" w:rsidRDefault="00665A45" w:rsidP="006D6BF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45" w:rsidRDefault="00665A45" w:rsidP="006D6BF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35" w:rsidRDefault="007E7735" w:rsidP="00D03EC0">
      <w:pPr>
        <w:spacing w:after="0" w:line="240" w:lineRule="auto"/>
      </w:pPr>
      <w:r>
        <w:separator/>
      </w:r>
    </w:p>
  </w:footnote>
  <w:footnote w:type="continuationSeparator" w:id="0">
    <w:p w:rsidR="007E7735" w:rsidRDefault="007E7735" w:rsidP="00D03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15:restartNumberingAfterBreak="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15:restartNumberingAfterBreak="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236"/>
    <w:rsid w:val="00002D70"/>
    <w:rsid w:val="0002298B"/>
    <w:rsid w:val="00023A67"/>
    <w:rsid w:val="00032B88"/>
    <w:rsid w:val="00037D64"/>
    <w:rsid w:val="00043BBE"/>
    <w:rsid w:val="00044831"/>
    <w:rsid w:val="000523DC"/>
    <w:rsid w:val="00053CDC"/>
    <w:rsid w:val="0005459D"/>
    <w:rsid w:val="00062358"/>
    <w:rsid w:val="00062E3D"/>
    <w:rsid w:val="0006449C"/>
    <w:rsid w:val="0007041F"/>
    <w:rsid w:val="00070D02"/>
    <w:rsid w:val="00081F78"/>
    <w:rsid w:val="000826F7"/>
    <w:rsid w:val="000873CE"/>
    <w:rsid w:val="00087F6F"/>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E1AFF"/>
    <w:rsid w:val="001E28FD"/>
    <w:rsid w:val="001E6275"/>
    <w:rsid w:val="0020649F"/>
    <w:rsid w:val="00215534"/>
    <w:rsid w:val="002168C3"/>
    <w:rsid w:val="0022678D"/>
    <w:rsid w:val="00230387"/>
    <w:rsid w:val="002331A2"/>
    <w:rsid w:val="00235B32"/>
    <w:rsid w:val="002368AE"/>
    <w:rsid w:val="00244751"/>
    <w:rsid w:val="0024533A"/>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A2D"/>
    <w:rsid w:val="002B07A2"/>
    <w:rsid w:val="002B2DBC"/>
    <w:rsid w:val="002D1EBD"/>
    <w:rsid w:val="002D2029"/>
    <w:rsid w:val="002E6FF9"/>
    <w:rsid w:val="002E7D2B"/>
    <w:rsid w:val="002F3371"/>
    <w:rsid w:val="002F4CE3"/>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71AA"/>
    <w:rsid w:val="003F072E"/>
    <w:rsid w:val="003F584E"/>
    <w:rsid w:val="00405957"/>
    <w:rsid w:val="00410F11"/>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C4C96"/>
    <w:rsid w:val="005D2496"/>
    <w:rsid w:val="005D2C35"/>
    <w:rsid w:val="005D36A6"/>
    <w:rsid w:val="005E7B0D"/>
    <w:rsid w:val="005F3EAC"/>
    <w:rsid w:val="005F581F"/>
    <w:rsid w:val="005F7377"/>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A45"/>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7223"/>
    <w:rsid w:val="007073C4"/>
    <w:rsid w:val="007104E7"/>
    <w:rsid w:val="00711880"/>
    <w:rsid w:val="00711D21"/>
    <w:rsid w:val="007121F3"/>
    <w:rsid w:val="007125D1"/>
    <w:rsid w:val="00744AD1"/>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E7735"/>
    <w:rsid w:val="007F611E"/>
    <w:rsid w:val="008003EC"/>
    <w:rsid w:val="00802948"/>
    <w:rsid w:val="00802989"/>
    <w:rsid w:val="00803781"/>
    <w:rsid w:val="008070BC"/>
    <w:rsid w:val="0080752A"/>
    <w:rsid w:val="00810FFF"/>
    <w:rsid w:val="0081151C"/>
    <w:rsid w:val="00816C51"/>
    <w:rsid w:val="00822135"/>
    <w:rsid w:val="00836FA1"/>
    <w:rsid w:val="0084242C"/>
    <w:rsid w:val="00850D9C"/>
    <w:rsid w:val="0085188E"/>
    <w:rsid w:val="0085569C"/>
    <w:rsid w:val="0086164B"/>
    <w:rsid w:val="008628DC"/>
    <w:rsid w:val="00865086"/>
    <w:rsid w:val="008663F5"/>
    <w:rsid w:val="00867BBD"/>
    <w:rsid w:val="008873FF"/>
    <w:rsid w:val="00890938"/>
    <w:rsid w:val="00891AA0"/>
    <w:rsid w:val="00895719"/>
    <w:rsid w:val="008961E4"/>
    <w:rsid w:val="008A06B4"/>
    <w:rsid w:val="008A45A9"/>
    <w:rsid w:val="008B56B1"/>
    <w:rsid w:val="008C09A7"/>
    <w:rsid w:val="008C2300"/>
    <w:rsid w:val="008C35A0"/>
    <w:rsid w:val="008C6CFA"/>
    <w:rsid w:val="008D0C2B"/>
    <w:rsid w:val="008E063D"/>
    <w:rsid w:val="008E481A"/>
    <w:rsid w:val="008E5D42"/>
    <w:rsid w:val="008E6A0F"/>
    <w:rsid w:val="008F6958"/>
    <w:rsid w:val="008F7B1C"/>
    <w:rsid w:val="00906862"/>
    <w:rsid w:val="009109C1"/>
    <w:rsid w:val="009111A8"/>
    <w:rsid w:val="009113D3"/>
    <w:rsid w:val="009212D5"/>
    <w:rsid w:val="009249AC"/>
    <w:rsid w:val="00934353"/>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7857"/>
    <w:rsid w:val="00A02A83"/>
    <w:rsid w:val="00A04DAD"/>
    <w:rsid w:val="00A07FCC"/>
    <w:rsid w:val="00A13D87"/>
    <w:rsid w:val="00A144F0"/>
    <w:rsid w:val="00A15AB0"/>
    <w:rsid w:val="00A16D24"/>
    <w:rsid w:val="00A21641"/>
    <w:rsid w:val="00A21A9B"/>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3101"/>
    <w:rsid w:val="00DB466B"/>
    <w:rsid w:val="00DB6212"/>
    <w:rsid w:val="00DB65CB"/>
    <w:rsid w:val="00DC12BE"/>
    <w:rsid w:val="00DC4BA0"/>
    <w:rsid w:val="00DC4D4A"/>
    <w:rsid w:val="00DD245D"/>
    <w:rsid w:val="00DD2FCB"/>
    <w:rsid w:val="00DD39B2"/>
    <w:rsid w:val="00DD440C"/>
    <w:rsid w:val="00DF0165"/>
    <w:rsid w:val="00DF2202"/>
    <w:rsid w:val="00DF2EAE"/>
    <w:rsid w:val="00DF4FE1"/>
    <w:rsid w:val="00E018FE"/>
    <w:rsid w:val="00E03E35"/>
    <w:rsid w:val="00E057E6"/>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24CB"/>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F7E71"/>
    <w:rsid w:val="00F013E6"/>
    <w:rsid w:val="00F014B4"/>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E0FA8"/>
    <w:rsid w:val="00FE6CE4"/>
    <w:rsid w:val="00FF189C"/>
    <w:rsid w:val="00FF3F11"/>
    <w:rsid w:val="00FF4568"/>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B71A"/>
  <w15:docId w15:val="{E5ADE007-3608-4801-A4EA-E6FBF8B8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rFonts w:ascii="Arial" w:eastAsia="Times New Roman" w:hAnsi="Arial" w:cs="Arial"/>
      <w:b/>
      <w:bCs/>
      <w:sz w:val="20"/>
      <w:szCs w:val="20"/>
      <w:lang w:eastAsia="ru-RU"/>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5894">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CFCC8-8647-435D-81C8-9AD43FB1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21703</Words>
  <Characters>123711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Пользователь</cp:lastModifiedBy>
  <cp:revision>28</cp:revision>
  <cp:lastPrinted>2025-03-11T06:51:00Z</cp:lastPrinted>
  <dcterms:created xsi:type="dcterms:W3CDTF">2025-03-11T05:58:00Z</dcterms:created>
  <dcterms:modified xsi:type="dcterms:W3CDTF">2025-03-17T06:24:00Z</dcterms:modified>
</cp:coreProperties>
</file>